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Default="006E2FC9" w:rsidP="005019B6">
      <w:pPr>
        <w:autoSpaceDE w:val="0"/>
        <w:autoSpaceDN w:val="0"/>
        <w:adjustRightInd w:val="0"/>
        <w:spacing w:after="0" w:line="240" w:lineRule="auto"/>
        <w:jc w:val="center"/>
        <w:rPr>
          <w:rFonts w:ascii="MS Shell Dlg 2" w:hAnsi="MS Shell Dlg 2" w:cs="MS Shell Dlg 2"/>
          <w:noProof/>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3C399F">
        <w:rPr>
          <w:rFonts w:ascii="MS Shell Dlg 2" w:hAnsi="MS Shell Dlg 2" w:cs="MS Shell Dlg 2"/>
          <w:noProof/>
          <w:sz w:val="40"/>
          <w:szCs w:val="40"/>
          <w:u w:val="single"/>
        </w:rPr>
        <w:t>Adjuvant – Plastifiant – Réducteur d’eau</w:t>
      </w:r>
    </w:p>
    <w:p w:rsidR="00C55B7B" w:rsidRPr="005019B6" w:rsidRDefault="00C55B7B" w:rsidP="005019B6">
      <w:pPr>
        <w:autoSpaceDE w:val="0"/>
        <w:autoSpaceDN w:val="0"/>
        <w:adjustRightInd w:val="0"/>
        <w:spacing w:after="0" w:line="240" w:lineRule="auto"/>
        <w:jc w:val="center"/>
        <w:rPr>
          <w:rFonts w:ascii="MS Shell Dlg 2" w:hAnsi="MS Shell Dlg 2" w:cs="MS Shell Dlg 2"/>
          <w:sz w:val="40"/>
          <w:szCs w:val="40"/>
          <w:u w:val="single"/>
        </w:rPr>
      </w:pPr>
      <w:r>
        <w:rPr>
          <w:rFonts w:ascii="MS Shell Dlg 2" w:hAnsi="MS Shell Dlg 2" w:cs="MS Shell Dlg 2"/>
          <w:noProof/>
          <w:sz w:val="40"/>
          <w:szCs w:val="40"/>
          <w:u w:val="single"/>
        </w:rPr>
        <w:t>Dosage</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C55B7B" w:rsidRDefault="00C55B7B" w:rsidP="00C55B7B">
      <w:r>
        <w:t>Les items Dosage, Extrait sec et Densité</w:t>
      </w:r>
      <w:r>
        <w:t xml:space="preserve"> permetten</w:t>
      </w:r>
      <w:r>
        <w:t>t</w:t>
      </w:r>
      <w:r>
        <w:t xml:space="preserve"> de calculer et d’indiquer le dosage en pourcentage de la masse de liant dans la formulation, en fonction de la quantité d’extrait sec de l’adjuvant. Cela permet de conserver la cohérence de la formulation même si le producteur d’adjuvant modifie la teneur en extrait sec de son produit suivant son mode de </w:t>
      </w:r>
      <w:r>
        <w:t>conditionnement</w:t>
      </w:r>
      <w:bookmarkStart w:id="0" w:name="_GoBack"/>
      <w:bookmarkEnd w:id="0"/>
      <w:r>
        <w:t xml:space="preserve"> (vrac, conteneurs ou bidons).</w:t>
      </w:r>
    </w:p>
    <w:p w:rsidR="00C55B7B" w:rsidRPr="00E85352" w:rsidRDefault="00C55B7B" w:rsidP="00C55B7B">
      <w:pPr>
        <w:rPr>
          <w:u w:val="single"/>
        </w:rPr>
      </w:pPr>
      <w:r w:rsidRPr="00E85352">
        <w:rPr>
          <w:u w:val="single"/>
        </w:rPr>
        <w:t>Exemple :</w:t>
      </w:r>
    </w:p>
    <w:p w:rsidR="00C55B7B" w:rsidRDefault="00C55B7B" w:rsidP="00C55B7B">
      <w:r>
        <w:t>Béton dosé en ciment à 350 kg/m3 contenant un plastifiant pour 1,5% en masse de ciment.</w:t>
      </w:r>
    </w:p>
    <w:p w:rsidR="00C55B7B" w:rsidRDefault="00C55B7B" w:rsidP="00C55B7B">
      <w:r>
        <w:t>Cela donne :</w:t>
      </w:r>
    </w:p>
    <w:p w:rsidR="00C55B7B" w:rsidRDefault="00C55B7B" w:rsidP="00C55B7B">
      <w:pPr>
        <w:pStyle w:val="Paragraphedeliste"/>
        <w:numPr>
          <w:ilvl w:val="0"/>
          <w:numId w:val="18"/>
        </w:numPr>
        <w:jc w:val="both"/>
      </w:pPr>
      <w:r>
        <w:t xml:space="preserve">Masse de plastifiant = </w:t>
      </w:r>
      <w:r w:rsidRPr="00E85352">
        <w:rPr>
          <w:b/>
          <w:color w:val="FF0000"/>
        </w:rPr>
        <w:t>1,5</w:t>
      </w:r>
      <w:r>
        <w:t>% de 350 kg = 5,25 kg/m3</w:t>
      </w:r>
    </w:p>
    <w:p w:rsidR="00C55B7B" w:rsidRDefault="00C55B7B" w:rsidP="00C55B7B">
      <w:pPr>
        <w:pStyle w:val="Paragraphedeliste"/>
        <w:numPr>
          <w:ilvl w:val="0"/>
          <w:numId w:val="18"/>
        </w:numPr>
        <w:jc w:val="both"/>
      </w:pPr>
      <w:r>
        <w:t>Dosage en extrait sec : 5,25 x 0,31 = 1,6275 kg/m3 d’extrait sec d’adjuvant (extrait sec du</w:t>
      </w:r>
      <w:r w:rsidRPr="00B212C7">
        <w:t xml:space="preserve"> </w:t>
      </w:r>
      <w:r>
        <w:t xml:space="preserve">plastifiant </w:t>
      </w:r>
      <w:proofErr w:type="spellStart"/>
      <w:r>
        <w:t>Sika</w:t>
      </w:r>
      <w:proofErr w:type="spellEnd"/>
      <w:r>
        <w:t xml:space="preserve">™ </w:t>
      </w:r>
      <w:proofErr w:type="spellStart"/>
      <w:r>
        <w:t>Plastiment</w:t>
      </w:r>
      <w:proofErr w:type="spellEnd"/>
      <w:r>
        <w:t xml:space="preserve">™-24R = </w:t>
      </w:r>
      <w:r w:rsidRPr="00E85352">
        <w:rPr>
          <w:b/>
          <w:color w:val="FF0000"/>
        </w:rPr>
        <w:t>31</w:t>
      </w:r>
      <w:r>
        <w:t xml:space="preserve">% – voir fiche technique du produit) soit 1.6275/350 = </w:t>
      </w:r>
      <w:r w:rsidRPr="00E86DFB">
        <w:rPr>
          <w:b/>
          <w:color w:val="548DD4" w:themeColor="text2" w:themeTint="99"/>
        </w:rPr>
        <w:t>0,465</w:t>
      </w:r>
      <w:r w:rsidRPr="00E86DFB">
        <w:rPr>
          <w:color w:val="548DD4" w:themeColor="text2" w:themeTint="99"/>
        </w:rPr>
        <w:t xml:space="preserve"> </w:t>
      </w:r>
      <w:r>
        <w:t>% de la masse de ciment</w:t>
      </w:r>
    </w:p>
    <w:p w:rsidR="00C55B7B" w:rsidRDefault="00C55B7B" w:rsidP="00C55B7B">
      <w:pPr>
        <w:pStyle w:val="Paragraphedeliste"/>
        <w:numPr>
          <w:ilvl w:val="0"/>
          <w:numId w:val="18"/>
        </w:numPr>
        <w:jc w:val="both"/>
      </w:pPr>
      <w:r>
        <w:t>Volume en liquide du plastifiant : 5.25/1.175=</w:t>
      </w:r>
      <w:r w:rsidRPr="00E86DFB">
        <w:rPr>
          <w:b/>
          <w:color w:val="548DD4" w:themeColor="text2" w:themeTint="99"/>
        </w:rPr>
        <w:t xml:space="preserve">4.468 </w:t>
      </w:r>
      <w:r>
        <w:t xml:space="preserve">L/m3 avec une densité de </w:t>
      </w:r>
      <w:r w:rsidRPr="00E85352">
        <w:rPr>
          <w:b/>
          <w:color w:val="FF0000"/>
        </w:rPr>
        <w:t xml:space="preserve">1,175 </w:t>
      </w:r>
      <w:r>
        <w:t xml:space="preserve">(densité du plastifiant </w:t>
      </w:r>
      <w:proofErr w:type="spellStart"/>
      <w:r>
        <w:t>Sika</w:t>
      </w:r>
      <w:proofErr w:type="spellEnd"/>
      <w:r>
        <w:t xml:space="preserve">™ </w:t>
      </w:r>
      <w:proofErr w:type="spellStart"/>
      <w:r>
        <w:t>Plastiment</w:t>
      </w:r>
      <w:proofErr w:type="spellEnd"/>
      <w:r>
        <w:t xml:space="preserve">™-24R – voir fiche technique du produit). Ces 4,47 L représente le volume d’adjuvant qui sera versé en même temps que l’eau de </w:t>
      </w:r>
      <w:proofErr w:type="spellStart"/>
      <w:r>
        <w:t>gachage</w:t>
      </w:r>
      <w:proofErr w:type="spellEnd"/>
      <w:r>
        <w:t>.</w:t>
      </w:r>
    </w:p>
    <w:p w:rsidR="00C55B7B" w:rsidRDefault="00C55B7B" w:rsidP="00C55B7B">
      <w:r>
        <w:t>Soit l’image ci-dessous en entrée de donnée :</w:t>
      </w:r>
    </w:p>
    <w:p w:rsidR="00C55B7B" w:rsidRDefault="00C55B7B" w:rsidP="00C55B7B">
      <w:r>
        <w:rPr>
          <w:noProof/>
        </w:rPr>
        <w:drawing>
          <wp:anchor distT="0" distB="0" distL="114300" distR="114300" simplePos="0" relativeHeight="251660288" behindDoc="0" locked="0" layoutInCell="1" allowOverlap="1" wp14:anchorId="15A488F8" wp14:editId="64275288">
            <wp:simplePos x="0" y="0"/>
            <wp:positionH relativeFrom="column">
              <wp:posOffset>4445</wp:posOffset>
            </wp:positionH>
            <wp:positionV relativeFrom="paragraph">
              <wp:posOffset>4445</wp:posOffset>
            </wp:positionV>
            <wp:extent cx="2678545" cy="762000"/>
            <wp:effectExtent l="0" t="0" r="7620" b="0"/>
            <wp:wrapSquare wrapText="bothSides"/>
            <wp:docPr id="126" name="Imag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678545" cy="762000"/>
                    </a:xfrm>
                    <a:prstGeom prst="rect">
                      <a:avLst/>
                    </a:prstGeom>
                  </pic:spPr>
                </pic:pic>
              </a:graphicData>
            </a:graphic>
            <wp14:sizeRelH relativeFrom="page">
              <wp14:pctWidth>0</wp14:pctWidth>
            </wp14:sizeRelH>
            <wp14:sizeRelV relativeFrom="page">
              <wp14:pctHeight>0</wp14:pctHeight>
            </wp14:sizeRelV>
          </wp:anchor>
        </w:drawing>
      </w:r>
      <w:r>
        <w:t>Soit les chiffres en rouge figurant ci-dessus.</w:t>
      </w:r>
    </w:p>
    <w:p w:rsidR="00C55B7B" w:rsidRDefault="00C55B7B" w:rsidP="00C55B7B"/>
    <w:p w:rsidR="00C55B7B" w:rsidRDefault="00C55B7B" w:rsidP="00C55B7B"/>
    <w:p w:rsidR="00C55B7B" w:rsidRDefault="00C55B7B" w:rsidP="00C55B7B">
      <w:r>
        <w:t>Ce qui permettra d’afficher dans la note de calcul la formulation suivante concernant le plastifiant :</w:t>
      </w:r>
    </w:p>
    <w:p w:rsidR="00C55B7B" w:rsidRPr="00CC1E25" w:rsidRDefault="00C55B7B" w:rsidP="00C55B7B">
      <w:r>
        <w:t>Dosage plastifiant : 0,465% en extrait sec (ou 4,47 L/m3 pour un extrait sec de 31%) soit les chiffres en bleu aux points 3 et 2 ci-dessus.</w:t>
      </w:r>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333365">
        <w:t>1</w:t>
      </w:r>
      <w:r w:rsidR="003C399F">
        <w:t>9</w:t>
      </w:r>
      <w:r w:rsidR="00333365">
        <w:t xml:space="preserve"> juin 2026</w:t>
      </w:r>
    </w:p>
    <w:p w:rsidR="00D7782D" w:rsidRPr="00D7782D" w:rsidRDefault="00D7782D" w:rsidP="00E341E3">
      <w:pPr>
        <w:spacing w:line="240" w:lineRule="auto"/>
        <w:rPr>
          <w:u w:val="single"/>
        </w:rPr>
      </w:pPr>
      <w:r w:rsidRPr="00D7782D">
        <w:rPr>
          <w:u w:val="single"/>
        </w:rPr>
        <w:t>Bibliographie :</w:t>
      </w:r>
    </w:p>
    <w:p w:rsidR="009B79DA" w:rsidRDefault="00333365" w:rsidP="00333365">
      <w:pPr>
        <w:pStyle w:val="Paragraphedeliste"/>
        <w:numPr>
          <w:ilvl w:val="0"/>
          <w:numId w:val="1"/>
        </w:numPr>
        <w:spacing w:line="240" w:lineRule="auto"/>
      </w:pPr>
      <w:r w:rsidRPr="00DA113E">
        <w:t xml:space="preserve">« Les bétons – Bases et données pour leur formulation » écrit sous la direction de Jacques Baron et </w:t>
      </w:r>
      <w:proofErr w:type="spellStart"/>
      <w:r w:rsidRPr="00DA113E">
        <w:t>Jean-pierre</w:t>
      </w:r>
      <w:proofErr w:type="spellEnd"/>
      <w:r w:rsidRPr="00DA113E">
        <w:t xml:space="preserve"> Ollivier et paru aux Editions Eyrolles</w:t>
      </w:r>
      <w:r>
        <w:t xml:space="preserve"> 1996</w:t>
      </w:r>
    </w:p>
    <w:p w:rsidR="00333365" w:rsidRDefault="00333365" w:rsidP="00333365">
      <w:pPr>
        <w:pStyle w:val="Paragraphedeliste"/>
        <w:numPr>
          <w:ilvl w:val="0"/>
          <w:numId w:val="1"/>
        </w:numPr>
        <w:spacing w:line="240" w:lineRule="auto"/>
      </w:pPr>
      <w:r>
        <w:t xml:space="preserve">« Le matériau béton : Connaissances générales » - Collection Les cours de l’ENTPE – G. </w:t>
      </w:r>
      <w:proofErr w:type="spellStart"/>
      <w:r>
        <w:t>Chanvillard</w:t>
      </w:r>
      <w:proofErr w:type="spellEnd"/>
      <w:r>
        <w:t xml:space="preserve"> - Edition ENTPE ALEAS 1999</w:t>
      </w:r>
    </w:p>
    <w:sectPr w:rsidR="00333365"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D82815"/>
    <w:multiLevelType w:val="hybridMultilevel"/>
    <w:tmpl w:val="DADA582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0"/>
  </w:num>
  <w:num w:numId="8">
    <w:abstractNumId w:val="13"/>
  </w:num>
  <w:num w:numId="9">
    <w:abstractNumId w:val="4"/>
  </w:num>
  <w:num w:numId="10">
    <w:abstractNumId w:val="8"/>
  </w:num>
  <w:num w:numId="11">
    <w:abstractNumId w:val="9"/>
  </w:num>
  <w:num w:numId="12">
    <w:abstractNumId w:val="11"/>
  </w:num>
  <w:num w:numId="13">
    <w:abstractNumId w:val="14"/>
  </w:num>
  <w:num w:numId="14">
    <w:abstractNumId w:val="15"/>
  </w:num>
  <w:num w:numId="15">
    <w:abstractNumId w:val="16"/>
  </w:num>
  <w:num w:numId="16">
    <w:abstractNumId w:val="2"/>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92135"/>
    <w:rsid w:val="00093CF0"/>
    <w:rsid w:val="000F205A"/>
    <w:rsid w:val="000F5E43"/>
    <w:rsid w:val="00113421"/>
    <w:rsid w:val="0016643A"/>
    <w:rsid w:val="0020662B"/>
    <w:rsid w:val="002528E7"/>
    <w:rsid w:val="00285019"/>
    <w:rsid w:val="00296481"/>
    <w:rsid w:val="002A3FC4"/>
    <w:rsid w:val="002F0BE2"/>
    <w:rsid w:val="00333365"/>
    <w:rsid w:val="00356AC9"/>
    <w:rsid w:val="003C399F"/>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E3454"/>
    <w:rsid w:val="008F6CB7"/>
    <w:rsid w:val="00902D2C"/>
    <w:rsid w:val="00923F20"/>
    <w:rsid w:val="009306D1"/>
    <w:rsid w:val="00946577"/>
    <w:rsid w:val="0096305B"/>
    <w:rsid w:val="00983E27"/>
    <w:rsid w:val="009B79DA"/>
    <w:rsid w:val="00A55C81"/>
    <w:rsid w:val="00A85F1B"/>
    <w:rsid w:val="00AA0DED"/>
    <w:rsid w:val="00AC4C8B"/>
    <w:rsid w:val="00AC795F"/>
    <w:rsid w:val="00B14982"/>
    <w:rsid w:val="00BA2BBB"/>
    <w:rsid w:val="00BB2E99"/>
    <w:rsid w:val="00BD179B"/>
    <w:rsid w:val="00BE392A"/>
    <w:rsid w:val="00C007D4"/>
    <w:rsid w:val="00C163E6"/>
    <w:rsid w:val="00C55B7B"/>
    <w:rsid w:val="00C91564"/>
    <w:rsid w:val="00CB2066"/>
    <w:rsid w:val="00CF7A2F"/>
    <w:rsid w:val="00D447BA"/>
    <w:rsid w:val="00D7202E"/>
    <w:rsid w:val="00D7782D"/>
    <w:rsid w:val="00D8287A"/>
    <w:rsid w:val="00E32643"/>
    <w:rsid w:val="00E341E3"/>
    <w:rsid w:val="00E90F9F"/>
    <w:rsid w:val="00EC1B70"/>
    <w:rsid w:val="00EC2507"/>
    <w:rsid w:val="00ED1818"/>
    <w:rsid w:val="00EE2A24"/>
    <w:rsid w:val="00EF1D5B"/>
    <w:rsid w:val="00F060F6"/>
    <w:rsid w:val="00F8595D"/>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83910"/>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281</Words>
  <Characters>1547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10</cp:revision>
  <dcterms:created xsi:type="dcterms:W3CDTF">2025-11-16T14:41:00Z</dcterms:created>
  <dcterms:modified xsi:type="dcterms:W3CDTF">2026-06-20T09:00:00Z</dcterms:modified>
</cp:coreProperties>
</file>